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b w:val="1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b w:val="1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b w:val="1"/>
          <w:color w:val="7f7f7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7f7f7f"/>
          <w:sz w:val="24"/>
          <w:szCs w:val="24"/>
          <w:rtl w:val="0"/>
        </w:rPr>
        <w:t xml:space="preserve">POSTER SAIORAKO EKARPENA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Izenburua: Lagopoden harrapaketa arriskua karniboroengandik, nekazal gune batean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Unai Ormazabal Santa Cruz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, Julian Cendrero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, Alicia Marquez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, Rocio Rios Guisado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, Francisco Santiago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, Ignacio Garcia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rtl w:val="0"/>
        </w:rPr>
        <w:t xml:space="preserve"> eta Francsico Diaz</w:t>
      </w:r>
      <w:r w:rsidDel="00000000" w:rsidR="00000000" w:rsidRPr="00000000">
        <w:rPr>
          <w:rFonts w:ascii="Cambria" w:cs="Cambria" w:eastAsia="Cambria" w:hAnsi="Cambria"/>
          <w:i w:val="1"/>
          <w:color w:val="666666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mbria" w:cs="Cambria" w:eastAsia="Cambria" w:hAnsi="Cambria"/>
          <w:i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vertAlign w:val="superscript"/>
          <w:rtl w:val="0"/>
        </w:rPr>
        <w:t xml:space="preserve">1 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Grupo de Investigación en Biología de la Conservación,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Area de Zoología,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Facultad de Ciencias,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Universidad de Extremadura,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Av. de Elvas s/n 06071,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Badajoz (España)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  <w:i w:val="1"/>
          <w:color w:val="666666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Harremanetarako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 unaios@unex.es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Hitz gakoak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Harrapakari-harrapakin, hautespen naturala, jarduera egutiarra, ehiza 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Egileen ezaugarriak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Gradu edo master amaierako lana da?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45.0" w:type="dxa"/>
        <w:jc w:val="left"/>
        <w:tblInd w:w="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65"/>
        <w:gridCol w:w="2970"/>
        <w:gridCol w:w="495"/>
        <w:gridCol w:w="2715"/>
        <w:tblGridChange w:id="0">
          <w:tblGrid>
            <w:gridCol w:w="465"/>
            <w:gridCol w:w="2970"/>
            <w:gridCol w:w="495"/>
            <w:gridCol w:w="2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Bai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Laburpena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Organismoen jarduera zirkadianoak faktore intrinseko eta extrinseko ezberdinen bidez modulatzen dira. Harrapakinen kasuan, jarduera horien modulatzaile nagusietako bat beraien inguruan dauden harrapakarien komunitatea da. Erbi iberiarra (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Lepus granatensis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) eta untxia (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Oryctolagus cuniculus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) iberiar penintsulako nekazal guneetan arruntak diren eta harrapakari askoren harrapakin diren lagomorfo espezieak dira. Bi espezie hauen eta harrapakari nagusien arteko denbora-interakzioak nekazal guneetan ez dira asko ikertu. Ikerlan honetan, Extremadura erdialdeko nekazal guneetan arruntak diren bi lagomorfo eta hiru harrapakarien arteko denbora-interakzioak ikertu dira. Harrapakari hauek azeri arrunta (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Vulpes vulpes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), katajineta (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Genetta genetta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) eta mangosta arrunta (</w:t>
      </w:r>
      <w:r w:rsidDel="00000000" w:rsidR="00000000" w:rsidRPr="00000000">
        <w:rPr>
          <w:rFonts w:ascii="Cambria" w:cs="Cambria" w:eastAsia="Cambria" w:hAnsi="Cambria"/>
          <w:i w:val="1"/>
          <w:color w:val="666666"/>
          <w:rtl w:val="0"/>
        </w:rPr>
        <w:t xml:space="preserve">Herpestes ichneumon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) dira. Ikerketa honetarako, sastraka mediterranear, labore eta olibadi eta mahasti nekazal lurretan 20 kamara tranpa banatu ziren. Kamara hauek 2023-ko abuztuan zehar aktibo egon ziren. Espezie bakoitzerako jarduera patroiak eta espezieen arteko jardueren gainjartze gradua kalkulatu ziren R-ko “cameratrap” paketearen bidez. Emaitzen arabera erbi eta untxiek jarduera patroi berdintsua dute, %80ko gainjartze indizearekin eta  hauen jarduera altueneko unea egunsentia eta ordubeteren ondoren delarik. Harrapakariekin dituzten interakzioei dagokiela, badirudi untxi eta erbiek hiru karniboroen jarduera altueneko uneak saihesten dituztela: gaueko orduak katajinetak aktiboen daudenean, eguneko orduak mangosta arruntak aktiboen daudenean eta egunsenti/ilunsentia azeriak aktiboen daudenean. Horrela, lagomorfo hauek erdi-mailako gainjartze indizeak (0.36-0.61) erakusten dituzte harrapakari hauekiko. Horrela bada, posible da hautespen naturalaren prozesuari esker lagomorfo hauek nekazalgune irekietan arrisku handieneko denbora-espazioak saihestarazten dituzten adaptazioak lortu izana.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mbria" w:cs="Cambria" w:eastAsia="Cambria" w:hAnsi="Cambri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Hemen idatzi ezazu laburpena. Laburpenak 2000 karaktere izan ditzake gehienez (22 lerro inguru). Txantiloia betetzean bidal ezazu euskalnatura@gmail.com helbide elektronikora azaroaren 10a baino lehen.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Oharra</w:t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Posterra norberak </w:t>
      </w:r>
      <w:r w:rsidDel="00000000" w:rsidR="00000000" w:rsidRPr="00000000">
        <w:rPr>
          <w:rFonts w:ascii="Cambria" w:cs="Cambria" w:eastAsia="Cambria" w:hAnsi="Cambria"/>
          <w:color w:val="666666"/>
          <w:rtl w:val="0"/>
        </w:rPr>
        <w:t xml:space="preserve">eraman beharko du inprimatuta (120x80cm tamainan).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971800" cy="11334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32386"/>
                  <a:stretch>
                    <a:fillRect/>
                  </a:stretch>
                </pic:blipFill>
                <pic:spPr>
                  <a:xfrm>
                    <a:off x="0" y="0"/>
                    <a:ext cx="2971800" cy="1133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40" w:lineRule="auto"/>
      <w:jc w:val="center"/>
      <w:rPr/>
    </w:pPr>
    <w:r w:rsidDel="00000000" w:rsidR="00000000" w:rsidRPr="00000000">
      <w:rPr>
        <w:rFonts w:ascii="Cambria" w:cs="Cambria" w:eastAsia="Cambria" w:hAnsi="Cambria"/>
        <w:b w:val="1"/>
        <w:color w:val="7f7f7f"/>
        <w:sz w:val="24"/>
        <w:szCs w:val="24"/>
      </w:rPr>
      <w:drawing>
        <wp:inline distB="114300" distT="114300" distL="114300" distR="114300">
          <wp:extent cx="3624263" cy="24141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4263" cy="2414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deada" w:val="clear"/>
      </w:tcPr>
    </w:tblStylePr>
    <w:tblStylePr w:type="band1Vert">
      <w:tcPr>
        <w:shd w:fill="fdeada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